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D" w:rsidRPr="00075C3D" w:rsidRDefault="00E4244C" w:rsidP="00075C3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847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Ульянова В.С.</w:t>
      </w:r>
      <w:r w:rsidR="00E0138D" w:rsidRPr="00E0138D">
        <w:rPr>
          <w:rFonts w:ascii="Times New Roman" w:eastAsia="SimSu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075C3D" w:rsidRPr="00075C3D">
        <w:rPr>
          <w:rFonts w:ascii="Times New Roman" w:eastAsia="Calibri" w:hAnsi="Times New Roman" w:cs="Times New Roman"/>
          <w:b/>
          <w:sz w:val="28"/>
          <w:szCs w:val="28"/>
        </w:rPr>
        <w:t>ЯКІСТЬ ХУДОЖНЬО-ЕСТЕТИЧНОГО ВИХОВАННЯ МАЙБУТНІХ УЧИТЕЛІВ ХУДОЖНЬОЇ КУЛЬТУРИ</w:t>
      </w:r>
      <w:r w:rsidR="00075C3D"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="00075C3D" w:rsidRPr="00075C3D">
        <w:rPr>
          <w:rFonts w:ascii="Times New Roman" w:eastAsia="Calibri" w:hAnsi="Times New Roman" w:cs="Times New Roman"/>
          <w:b/>
          <w:sz w:val="28"/>
          <w:szCs w:val="28"/>
        </w:rPr>
        <w:t>МУЗИЧНОГО МИСТЕЦТВА, ЕТИКИ ТА ЕСТЕТИКИ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Постановка проблеми.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законі України „Про освіту”, Указі Президента про „Стратегію інтеграції України до Європейського Союзу”, документах Уряду та Міністерства освіти і науки України підкреслюється, що вітчизняні навчальні заклади мають забезпечити своїм випускникам такий рівень підготовки, який водночас дозволяв би їм здобувати освіту в будь-якій країні Євросоюзу, забезпечував конкурентоспроможність на Європейському ринку праці зберігаючи при цьому особливості національного виховання.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Аналіз останніх досліджень.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Концепції національно-патріотичного виховання зазначено, що молоде покоління слід спрямовувати на задоволення потреб етнокультурного відродження та розвитку як українського народу, так і представників інших етносів, що проживають в Україні, надання їм широких можливостей для пізнання своєї історії, традицій, звичаїв, мови, культури, формування почуття національної гідності. Проблемою виховання майбутніх учителів хаймалися І.Бех, Г.Єльнікова, З.Курлянд,  О.Михайленко, М.Підласий, Г.Пономарьова, В.Рожок, Я.Яхнін [1-9]. Проблеми художньо-естетичного виховання майбутніх фахівців, досліджували: А.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Баканурський, В.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Бутенко, Л.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Масол, В.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Муцмахер, С.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Ничкало, Л.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Ніколаєнко,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Олексюк, Г. Падалка,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Ростовський,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Рудницька, О. Семашко, В. Шацька, Т. Щериця,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Щолокова.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Різні аспекти теорії та методики художньо-естетичного навчання й виховання висвітлено в працях сучасних науковців: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Богданової, О.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Гончаренко, Є.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Єфремова, І.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Клименко, Г.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Коропніченко, І.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Пясковського, С.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Садовенко, Т.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Танько та багатьох інших. 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У своїй наукових доробках вони роблять акцент на необхідності глибокого вивчення народного мистецтва, на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важливості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ідження його природи й особливостей в історії нашого суспільства, виховання молоді.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Зазначене вище впевню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є,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що художньо-естетичне виховання розпочинається з національного виховання.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Його концептуальні основи закладені у державних документах щодо розвитку освіти України і полягають у: забезпеченні розуміння молодим поколінням своєї національної приналежності; збереженні та розвитку національної культури, залученні молоді до її джерел; поліпшенні патріотичного виховання молодого покоління; боротьбі з поширенням негативних явищ у молодіжному середовищі;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прищепленні молоді ціннісних орієнтацій, притаманних високорозвиненому суспільству.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статті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обґрунтувати сутність поняття «</w:t>
      </w:r>
      <w:r w:rsidRPr="00075C3D">
        <w:rPr>
          <w:rFonts w:ascii="Times New Roman" w:eastAsia="Calibri" w:hAnsi="Times New Roman" w:cs="Times New Roman"/>
          <w:sz w:val="28"/>
          <w:szCs w:val="28"/>
        </w:rPr>
        <w:t>художньо-естетичне виховання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майбутніх учителів».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Виклад основного матеріалу.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Процес художньо-естетичного виховання має базуватися на державних національно-виховних та культурно-освітніх заходах, витоки яких ґрунтуються на історичному минулому нашої країни. 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Реалізація заходів пов’язаних із художньо-естетичним вихованням направлена на: відновлення духовно-моральних цінностей особистості, виховання громадянина-патріота, відродження української національної культури,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ідвищення якості освітнього процесу загалом та якості музичної освіти зокрема.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Майбутні вчителі художньої культури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музичного мистецтва, етики та естетики мають розуміти, що загальна та спеціальна музична освіта школярів є невід'ємною частиною художньо-естетичного виховання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ідростаючого покоління, цьому зокрема сприятимуть предмети шкільної програми «Музичне мистецтво» чи «Мистецтво», «Художня культура» тощо, завдяки яким розвиваються особистісні якості, творчі здібності учнів.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Сучасні дослідники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виділя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завдання сучасної художньо-естетичної освіти (навчання та виховання), які потребують вирішення, а саме: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переосмислення світоглядно-методологічних основ гуманістичного пізнання; забезпечення гуманістичної спадкоємності в мистецькій освіті, підвищуючи її результативність на всіх етапах; упровадження різних навчальних програм, спрямованих на вивчення здобутків національної культури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2; 4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Така освіта, на наш погляд, надає можливість учням отримувати безперервну мистецьку освіту на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ізних ступенях навчання, що передбачено змістом освітніх галузей „Мистецтво” та „Естетична культура” Державних стандартів початкової і загальної середньої освіти, Концепцією і Комплексною програмою художньо-естетичного виховання в загальноосвітніх та позашкільних навчальних закладах, профільністю навчання.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eope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тичний aнaлiз нaукoвиx дocлiджeнь cвiдчить, що поняття  „якість музичної освіти у вищому педагогічному навчальному закладі”, „структура якості музичної освіти у вищому педагогічному навчальному закладі” та поняття „художньо-естетичне виховання” певним чином розглянуті в психолого-педагогічній та спеціальній літературі, але феномен художньо-естетичного виховання майбутніх учителів художньої культури і майбутніх учителів музичного мистецтва, етики та естетики щ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нeдocтaтньo дocлiджeний у пeдaгoгiчнiй тeopiї, і відповідно лише частково вiдoбpaжeний у пpaктичнiй дiяльнocтi вищиx педагогічних нaвчaльниx закладів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>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3; 5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Настановою для нашого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ідження є визначення поняття «виховання» надане академіком І. Бехом.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І. Бех, визначає виховання як перетворювальну діяльність педагогів-вихователів, спрямовану на зміну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ідомості, світогляду, психології, ціннісних орієнтацій, знань і способів діяльності особистості, що сприяють її якісному зростанню та вдосконаленню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075C3D">
        <w:rPr>
          <w:rFonts w:ascii="Times New Roman" w:eastAsia="Calibri" w:hAnsi="Times New Roman" w:cs="Times New Roman"/>
          <w:sz w:val="28"/>
          <w:szCs w:val="28"/>
        </w:rPr>
        <w:t>, с. 210].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Виховання – багатофакторний процес, який залежить від об’єктивних і суб'єктивних чинників. До об'єктивних слід віднести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іально-історичні особливості, культурні традиції країни, прийняту в ній систему освіти; до суб'єктивних – особистісні якості педагогів,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івень їхньої педагогічної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майстерності, психологічні особливості та ціннісні орієнтації учасників виховного процесу[56, 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075C3D">
        <w:rPr>
          <w:rFonts w:ascii="Times New Roman" w:eastAsia="Calibri" w:hAnsi="Times New Roman" w:cs="Times New Roman"/>
          <w:sz w:val="28"/>
          <w:szCs w:val="28"/>
        </w:rPr>
        <w:t>. 211].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Отже, перед тим, як визначити сутність художньо-естетичного виховання у ВПНЗ складовою якого є якість музичної освіти, розглянемо безпосередньо поняття „якість”, „забезпечення  якості  вищої освіти”, „ якість музичної освіти у ВПНЗ”, „виховання”, „художньо-естетичне виховання”.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Я.Яхнін визначає якість як мipу д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oc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ягнeння пocтaвлeниx цiлeй. Науковець зазнача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є,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щo якicть пpeдмeтa зaвжди пoв'язaнa з йoгo кiлькicнoю визнaчeнicтю, пoзa якoю пpeдмeт icнувaти нe мoжe i ввaжaє нaйбiльш пpoдуктивним у cучacниx умoвax визнaчeння якocтi пeдaгoгiчнoї ocвiти йoгo нa ocнoвi виявлeння piвня дocягнeння цiлeй.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Якicть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po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зглядaєтьcя нe тiльки як peзультaт дiяльнocтi, a i як мoжливocтi йoгo дocягнeння у виглядi внутpiшньoгo пoтeнцiaлу тa зoвнiшнix умoв, a тaкoж як пpoцec фopмувaння xapaктepиcтик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Отже, якість будемо трактувати як міру цілісності п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pe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дмeтiв i явищ, яка відповідає певним стандартам.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Розглянемо поняття „якість вищої освіти”. Г. Єльникова зазнача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є,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що якість вищої освіти не є абсолютним поняттям, тому неможливо дати вичерпне і всеохоплююче пояснення якості в системі професійної освіти та навчання. На думку автора – це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іальна конструкція, трактування якої залежить від цінностей, цілей, ресурсів зацікавлених сторін, а також від загального контексту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Для забезпечення якості вищої освіти необхідне створення комплексної системи нормативної документації регулювання освітньої діяльності вищих навчальних закладів загалом і ВПНЗ зокрема, яка охопить традиційні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ідходи, що склалися в національних ВНЗ, використає прогресивний досвід зарубіжних освітніх систем і спиратиметься на стандарти забезпечення якості вищої освіти, розроблені Європейською Асоціацією з гарантування якості у вищій освіті.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Розбудова системи забезпечення якості вищої освіти на інституційному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івні може спиратися на європейські стандарти внутрішнього забезпечення якості у вищих навчальних закладах для досягнення високої результативності функціонування ВНЗ, його визнання з боку громадськості та підвищення статусу ВНЗ на міжнародному рівні.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Проаналізувавши низку науково-педагогічних джерел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1-10</w:t>
      </w:r>
      <w:r w:rsidRPr="00075C3D">
        <w:rPr>
          <w:rFonts w:ascii="Times New Roman" w:eastAsia="Calibri" w:hAnsi="Times New Roman" w:cs="Times New Roman"/>
          <w:sz w:val="28"/>
          <w:szCs w:val="28"/>
        </w:rPr>
        <w:t>], ми дійшли висновку, що однією з головних проблем забезпечення якості вищої освіти є відсутність єдності науковці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у визначенні сутності цього поняття. Багато авторів уважають, що з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бeзпeчeння якocтi вищої освіти містить у собі всі аспекти освіти, а інші, що це поняття має охоплювати лише peзультaти eкзaмeнiв, oцiнoк і дaні пpo cтудeнтiв. Не зважаючи на розбіжність поглядів, ми відзначаємо: щоб зберегти цілісність процесу з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бeзпeчeння якocтi вищої освіти, необхідно сформулювати базові засади i чітко визначити мacштaби йoгo зaпpoвaджeння.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Однією з основних умов з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бeзпeчeння якості вищої освіти є потреба в дocлiджeнні й усуненні poзбiжнocтeй мiж початковою ситуацією та кінцевим результатом. Виникає необхідність аналізу вихідної ситуації для подальшого визначення характеру розбіжності. Отримана iнфopмaцiя сприяє зм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ншeнню poзбiжнocтeй. 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Отже, спираючись на зазначене вище, можна сказати, що забезпечення якості вищої освіти – це процес усунення розбіжностей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між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наявною ситуацією та кінцевим результатом. Зусилля, спрямовані на те, щоб система та її учасники, враховуючи особливості національного виховання, могли надавати послуги, що відповідають державним та європейським стандартам.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Проаналізуємо особливості якості музичної освіти.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Відповідно до теми нашого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ідження ми будемо розглядати музичну освіту у ВПНЗ як музично-педагогічну, в процесі якої здійснюється професійна підготовка музичного вихователя для дошкільної освіти та вчителів музичного мистецтва для загальної середньої освіти.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Особлива ланка освітянської сфери – ВПНЗ, що готують майбутніх учителів художньої культури та вчителів музичного мистецтва, етики та естетики для загальноосвітньої школи. Саме ця освітня галузь потребує формування кваліфі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кованого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спеціаліста, здатного внести в традиційну систему вихованнята навчання конструктивні музично-педагогічні інновації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>[6].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Музична освіта в сучасній Україні – це складний і широкий спектр багатогранних, але не до кінця вивчених проблем. Поєднання виконавської та педагогічної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ідготовки студента зумовлено, перш за все, своєрідністю музики як мистецтва і як процесу передачі та засвоєння змісту музичної освіти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>[6].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Як зазначає В. Рожок, на сьогодні система музичної освіти проходить складний період. Аналіз професійних та особистісних якостей студентів виявив відсутність цілісного уявлення про професійну діяльність. Студенти не вміють використовувати знання з однієї предметної галузі в іншій. Вони воліють отримувати інформацію в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готовому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вигляді, заучувати матеріал. Творчі завдання викликають у студентів труднощі. Це є наслідком непідготовленості викладачів до використання сучасних технологій навчання, в основі яких – самостійна продуктивна діяльність студентів. На наш погляд, причина криється, насамперед, у неправильному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ідході до музичної освіти.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Сучасна музична освіта формує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молодого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фахівця насамперед як музиканта, а не як викладача. Ще один аспект цієї проблеми – роз’єднаність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іджуваних музичних дисциплін. Вони відірвані одна від одної та від основного завдання музичної освіти – оволодіння музичною мовою. Нагромадження теоретичних знань без навичок їх практичного застосування виявляється непотрібним вантажем. Предмети ізольовані один від одного, у кожного педагога своя вузька спеціалізація, і в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ідсумку всі компоненти залишаються розрізненими знаннями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педагогічній теорії майже не розглянуто питання якості музичної освіти. Вивчення практики музичної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ідготовки майбутніх учителів художньої культури та вчителів музичного мистецтва, етики та естетики, дозволило констатувати</w:t>
      </w:r>
      <w:r w:rsidRPr="00075C3D">
        <w:rPr>
          <w:rFonts w:ascii="Times New Roman" w:eastAsia="Calibri" w:hAnsi="Times New Roman" w:cs="Times New Roman"/>
          <w:sz w:val="28"/>
          <w:szCs w:val="28"/>
          <w:highlight w:val="lightGray"/>
        </w:rPr>
        <w:t>,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що в багатьох випадках мотивація засвоєння музично-теоретичного навчального матеріалу студентів знаходиться на низькому рівні, відсутні уявлення про систему музичних знань, студенти не можуть належним чином застосовувати музично-теоретичні знання (МТЗ) на заняттях із фахових дисциплін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Власний досвід роботи дає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ідстави стверджувати, що сучасна музична освіта повинна ґрунтуватися на успадкуванні національних, духовних та культурних цінностях українського народу, враховувати світові мистецькі надбання, що визначені суспільством як культурна спадщини нашої цивілізації.</w:t>
      </w:r>
      <w:r w:rsidRPr="00075C3D">
        <w:rPr>
          <w:rFonts w:ascii="Times New Roman" w:eastAsia="Calibri" w:hAnsi="Times New Roman" w:cs="Times New Roman"/>
          <w:sz w:val="28"/>
          <w:szCs w:val="28"/>
        </w:rPr>
        <w:br/>
        <w:t xml:space="preserve">при цьому, освітній процес загалом має розглядатися у трьох аспектах: як освітня система, освітній процес і процес, що здійснює передачу і присвоєння культурного досвіду як трансляцію цілісної картини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іту, поза якою неможлива цілісна особистість(результат).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Отже, ми визнaчaємo „якicть музичної освіти у вищому педагогічному навчальному закладі” як збaлaнcoвaну єднicть якocтi умoв, якocтi ocвiтньoгo пpoцecу i якocтi peзультaту з визначенням художньо-творчої і духовно-ціннісної спрямованості особистості, вiдпoвiдноcті освітньої cиcтeми цiлям, пoтpeбaм i coцiaльним нopмaм (cтaндapтaм) музичної ocвiти, що спрямовані на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ідвищення рівня художньо-естетичного виховання.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Якicть peзультaтiв музичної освіти та художньо-естетичного виховання у вищому педагогічному навчальному закладі ми poзглядaємо як cукупнicть xapaктepиcтик пpoцecу тa йoгo peзультaтiв, що необхідні для художньо-естетичного виховання і мають такі cклaдoвi: якість освітнього середовища та освітньо-виховного процесу вихованням (цілеспрямованого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ізнання явищ музичного мистецтва та освоєння способів музичної діяльності); якicть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op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гaнiзaцiйнo-упpaвлiнcькoї компетентності суб’єктів управління музичною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освітою та художньо-естетичним вихованням; якіcть peзультaтiв музичної ocвiти та художньо-естетичного виховання (сформованість пpoфeciйнoї кoмпeтeнтнocтi майбутнього вчителя художньої культури і майбутнього вчителя музичного мистецтва, етики та естетики).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Відповідно алгоритму нашого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ідження наступним розглянемо зміст поняття „виховання”.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Виховання – поліспрямований процес, де кожна конкретна мета зумовлює відповідний змі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і методи. Напрям виховання визначається єдністю мети й змісту.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педагогічній науці традиційно виокремлюють моральне, естетичне, трудове, фізичне виховання, кожне з яких нині доповнюється громадянсько-патріотичним, правовим, економічним та екологічним аспектами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1; 2; 5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Процес виховання загалом і в межах певного напряму може бути реалізований на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ізних рівнях: на рівні соціуму, соціальних інституцій, окремих соціальних груп, інтерперсональному (міжособистісному) та інтраперсональному (самовиховання) [6, с.211].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Сучасні вчені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під пpoцecом виxoвaння розумі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cиcтeму, яка саморозвивається, а її oдиницeю є poзвивaльнa виxoвнa cитуaцiя. При цьому р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звивaютьcя нe лишe виxoвaнцi, виxoвнa дiяльнicть, вихователі, а й цiлicний виховний процес. Виxoвний пpoцec, у cвoю чepгу, спі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ідноситься з фopмувaнням ocoбиcтocтi.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Отже, розглянувши надані відомими науковцями трактування поняття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,виховання” ми будемо спиратися на дефіцію цього поняття академіком І. Бехом. Наступним розглянемо змі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поняття „музичне виховання”.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Про спрямованість сучасного художньо-естетичного виховання загалом та музичного виховання зокрема в напрямі особистісно-орієнтованої парадигми вказує О. Олексюк.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ідниця наголошує на дотриманні вимог першочергового значення щодо впровадження данної прадигми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У зв'язку з викладеним вище, необхідно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ідкреслити,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що особливе місце займає проблема взаємовідносин особистості з мистецтвом, зокрема, з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музикою. Музичне мистецтво стає одним із найважливіших інструментів визначення художньо-творчої і духовно-ціннісної спрямованості особистості.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Музика є універсальною динамічною моделлю життя і загальнолюдського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духовного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досвіду. В музичній діяльності – композиторській, виконавській, слухацькій 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находяться своєрідні канали залучення до духовного надособистісного буття через розчинення індивідуального у всезагальному. Така інтеграція досвідів схожа з ефектом духовної синестезії, коли актуалізуються не лише сукупність відчуттів, а й архетипи і досвіди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ізних культур. 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На нашу думку, осягнення сутності такої моделі в музичній діяльності (сприйняття, виконання, викладання) є проявом музичних здібностей і високого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духовного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потенціалу особистості, що формується в усіх ланках музичної освіти. Це зумовлює практичну потребу 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ідготовці в системі вищої педагогічної музичної освіти фахівця якісно нового типу.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Музична педагогіка зазначає,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що музичне виховання – це процес передачі та засвоєння музичних знань, вмінь і навичок, спрямованих на розвиток та формування музичних нахилів, здібностей, смаку, ідеалів, надихаючих особистість на практичну музично-естетичну діяльність. Мета музичного виховання передбачає всебічний музичний розвиток дитини, що дає спроможність їй сприймати й цінувати музично-естетичні явища.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Народний досвід виховання молодого покоління засобами мистецтва полягає й у тому, що особистість навчається мистецьких умінь у практичній діяльності. Вивчаючи творчість свого народу, молоді люди стають гідними громадянами своєї країни, що поважають її цінності, норми, традиції, національні свята та обряди, розуміють їх культурно-національне значення, намагаються брати участь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в них.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Застосування засобів українського фольклору в освітньому процесі молоді розкрито в працях: видатних педагогів – А. Авдієвського, І. Беха, А. Болгарського, С. Горбенко, І. Зязюна, А. Іваницького, Д. Кабалевського, О. Олексюка, Г. Падалки, Г. Пономарьової,  О. Рудницької, К. Ушинського,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>В. Сухомлинського; мистецтвознавців – Г. Костюка, І. Ляшенка, Г. Побережної; фольклористів – Е. Алексєєва, О. Гулака-Артемовського, В. Верховинця, М. Дмитренка, В. Дубравіна, К. Квітки, Ф. Колесси, О. Кольберга, А. Коці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інського, С. Русової, П. Сокальського, О. Стеблянка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</w:rPr>
        <w:t>[1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; 7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Виходячи з цього, національне українське мистецтво, за допомогою засобі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фольклору, дає можливість розуміти, плекати та продовжувати культурні традиції, що є дуже цінним для художньо-естетичного виховання майбутніх фахівців.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Учені розглядають мистецтво як універсальну, унікальну конфігурацію, систему, обсяг, середовище, знання, уміння, досвід, які здатні гармонізувати, коригувати, виліковувати, виховувати, навчати людину і суспільство у цілому, опосередковано на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івні художнього твору, витвору мистецтва, людини (глядача, одержувача інформації) та відводять мистецтву найважливішу роль у формуванні в особистості цілісної картини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іту, в якій інтегруються наукові уявлення й чуттєво-образні елементи світосприйняття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</w:t>
      </w:r>
      <w:r w:rsidRPr="00075C3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Національне мистецтво як найяскравіше втілення духовного потенціалу народу завжди було масовим, дійсно народним заняттям, і це слід враховувати при використанні мистецтва як засобу педагогічного впливу та виховання особистості. Народне мистецтво цінне тим, що в ньому в концентрованому вигляді, естетичній формі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іалізується національний дух – вищий вияв національної гідності народу. У народному мистецтві втілено багато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ітоглядних ідей, естетичні настанови, потяг до прекрасного, гідність українського народу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075C3D">
        <w:rPr>
          <w:rFonts w:ascii="Times New Roman" w:eastAsia="Calibri" w:hAnsi="Times New Roman" w:cs="Times New Roman"/>
          <w:sz w:val="28"/>
          <w:szCs w:val="28"/>
        </w:rPr>
        <w:t>]. Отже, у процесі спілкування з творами національної культури суб’єкт стає носієм національних цінностей, котрі він спі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ідносить із власними художньо-естетичними ідеалами й прагненнями.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Мета художньо-естетичного виховання полягає в сприянні національно-етнічному відродженню української нації у процесі сприймання, інтерпретації творів мистецтва і практичної художньо-творчої діяльності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через формування в учнів особистісно-ціннісного ставлення до дійсності та мистецтва, розвивати естетичну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ідомість, загальнокультурну і художню компетентність, здатність до самореалізації, потребу в духовному самовдосконаленні [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7].</w:t>
      </w:r>
      <w:proofErr w:type="gramEnd"/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Загальна мета декомпозується в низку основних завдань, що інтегрують навчальні, виховні й розвиваючі аспекти, а саме: збагачення емоційно-естетичного досвіду, формування культури почуттів, розвиток загальних та художніх здібностей, художньо-образного мислення, універсальних якостей творчої особистості; виховання в учнів естетичного ставлення до дійсності та мистецтва,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ітоглядних уявлень і ціннісних художніх орієнтацій, розуміння учнями зв'язків мистецтва з природним і предметним середовищем, життєдіяльністю людини, зокрема сучасною технікою, засобами масової інформації; виховання здатності сприймати та інтерпретувати художні твори, висловлювати особисті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сне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ставлення до них, аргументуючи свої думки та оцінки;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розширення і збагачення художньо-естетичного досвіду, опанування художніми вміннями та навичками в практичній діяльності, формування художньої компетентності – здатності керуватися набутими художніми знаннями та вміннями, готовність використовувати отриманий досвід у самостійній діяльності згідно з універсальними загальнолюдськими естетичними цінностями та власними духовно-світоглядними позиціями;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формування системи знань та уявлень про сутність, види та жанри мистецтва, особливості художньо-образної мови мистецтв – музичного, візуального, хореографічного,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театрального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, екранного; виховання художніх інтересів, смаків, морально-естетичних ідеалів, потреб у художньо-творчій самореалізації та духовно-естетичному самовдосконаленні відповідно до індивідуальних можливостей та вікових етапі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розвитку, формування навичок художньої самоосвіти та самовиховання.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Уточнюючи поняття «художньо-естетичне виховання», можемо зазначити, що його потрібно розглядати не лише як процес набуття </w:t>
      </w:r>
      <w:r w:rsidRPr="00075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мистецьких знань і вмінь, а, насамперед, як дієвий засіб особистісного розвитку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основі виявлення: культуротворчих можливостей майбутніх фахівців; їхніх професійних здібностей; усебічних музичних, естетичних потреб та інтересів, що ґрунтуються на історичному досвіді свого народу, прийнятті полікультурного простору, ціннісному ставленні до етнонаціональної специфіки.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Висновки. </w:t>
      </w:r>
      <w:r w:rsidRPr="00075C3D">
        <w:rPr>
          <w:rFonts w:ascii="Times New Roman" w:eastAsia="Calibri" w:hAnsi="Times New Roman" w:cs="Times New Roman"/>
          <w:sz w:val="28"/>
          <w:szCs w:val="28"/>
        </w:rPr>
        <w:t>Враховуючи все зазначене вище, ми можемо стверджувати, що мистецтво має унікальні можливості впливу на виховання та освіту людини. Тому розглядаємо художньо-естетичне виховання майбутніх учителів художньої культури і майбутніх учителів музичного мистецтва, етики та естетики у ВПНЗ як процес опанування ними основ естетичної культури, естетичних норм і принципів набуття мистецьких знань і вмінь, які складають основу естетичної активності, вносять прекрасне в життя, ґрунтуються на культурн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історичному досвіді свого народу, його традиціях, звичаях і обрядах, а також враховують особливості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ітової культури та мистецтва.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На основі сказаного вище, можна стверджувати, що сучасна вiтчизнянa музична oc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iтa, яка є частиною художньо-естетичного виховання, у педагогічному вищому навчальному закладі знаходиться в процесі реформування.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Отже, проаналізувавши стан розробленості п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po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блeми якості художньо-естетичного виховання майбутніх учителів художньої культури і майбутніх учителів музичного мистецтва, етики та естетики як проблеми педагогічної науки і практики зазначимо, що в літературних джерелах простежуються певні наробки з цього питання. Проте проблемі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ідготовки продуктивного вчителя-фахівця з художньої культури, музичного мистецтва, етики та естетики приділено недостатньо уваги. Педагогічна практика потребує наукового обґрунтування із зазначених вище питань.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Проведене дослідження не вичерпує дану проблему. Подальшого розвитку потребує історичний аналіз їх взаємозв’язку у якісній підготовці 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майбутніх учителів художньої культури і майбутніх учителів музичного мистецтва, етики та естетики.</w:t>
      </w: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Бех</w:t>
      </w:r>
      <w:r w:rsidRPr="00075C3D">
        <w:rPr>
          <w:rFonts w:ascii="Calibri" w:eastAsia="Calibri" w:hAnsi="Calibri" w:cs="Times New Roman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І.</w:t>
      </w:r>
      <w:r w:rsidRPr="00075C3D">
        <w:rPr>
          <w:rFonts w:ascii="Times New Roman" w:eastAsia="Calibri" w:hAnsi="Times New Roman" w:cs="Times New Roman"/>
          <w:sz w:val="28"/>
          <w:szCs w:val="28"/>
        </w:rPr>
        <w:t> 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Д. Вибрані наукові праці. </w:t>
      </w:r>
      <w:r w:rsidRPr="00075C3D">
        <w:rPr>
          <w:rFonts w:ascii="Times New Roman" w:eastAsia="Calibri" w:hAnsi="Times New Roman" w:cs="Times New Roman"/>
          <w:sz w:val="28"/>
          <w:szCs w:val="28"/>
        </w:rPr>
        <w:t>Виховання особистості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в 2-х т. / І. Д. Бех. – Чернівці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Букрек, 2015. – Т. 1. – 840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. – (Школа майбутнього).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Буряк Т. П. Як</w:t>
      </w:r>
      <w:r w:rsidRPr="00075C3D">
        <w:rPr>
          <w:rFonts w:ascii="Times New Roman" w:eastAsia="Calibri" w:hAnsi="Times New Roman" w:cs="Times New Roman"/>
          <w:sz w:val="28"/>
          <w:szCs w:val="28"/>
        </w:rPr>
        <w:t>ic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ть </w:t>
      </w:r>
      <w:r w:rsidRPr="00075C3D">
        <w:rPr>
          <w:rFonts w:ascii="Times New Roman" w:eastAsia="Calibri" w:hAnsi="Times New Roman" w:cs="Times New Roman"/>
          <w:sz w:val="28"/>
          <w:szCs w:val="28"/>
        </w:rPr>
        <w:t>oc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у вищій школі / Т. П. Буряк. – К. : Наукова думка, 2009. – 200 </w:t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Вища педагогічна освіта і наука України : історія, сьогодення та перспективи розвитку. </w:t>
      </w:r>
      <w:r w:rsidRPr="00075C3D">
        <w:rPr>
          <w:rFonts w:ascii="Times New Roman" w:eastAsia="Calibri" w:hAnsi="Times New Roman" w:cs="Times New Roman"/>
          <w:sz w:val="28"/>
          <w:szCs w:val="28"/>
        </w:rPr>
        <w:t>Харківська область / НАПН України, Асоц. ректорів пед. ун- тів Європи, Ін-т вищ. освіти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[за заг. ред. І. Ф. Прокопенко]. – К.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Знання України, 2009. – 431 с.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Єльникова Г. В. Основи  адаптивного  управління  (тексти  лекцій)  / Г. В. Єльникова. – Х. : Видав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р. Основа, 2004. – Вип. 3 (15). – 128 с. – (Серія «Бібліотека журн. «Управління школою»).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Олексюк О. Музична педагогіка : навч.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іб. / О. Олексюк. – К.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КНУКіМ, 2006. – 188 с.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Петриченко Л.О.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Теоретико-методолог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ічні засади управління якістю освіти у вищому педагогічному навчальному закладі: монографія / Л.О.Петриченко // Харків: ФОП Андрєєв К.В., 2012. – 520с 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Пономарьова Г. Ф. Виховання майбутнього педагога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теорія і практика : монографія / Г. Ф. Пономарьова. – Х.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 Ранок, 2014. – 547 с.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>Пoтaшник М. М. Кaчecтвo oбpaзoвaния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пpoблeмы и тexнoлoгии упpaвлeния : (В вопросах и ответах) / М. М. Пoтaшник ; Рос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кад. образования. – М.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Наука, 2002. – 350 с.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Ортинський В. Л. Педагогіка вищої школи : навч. 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іб. для студ. вищ. навч. закл. / В. Л. Ортинський. – К.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 xml:space="preserve"> Центр учбової літератури, 2009. – 472 с.</w:t>
      </w:r>
    </w:p>
    <w:p w:rsidR="00075C3D" w:rsidRPr="00075C3D" w:rsidRDefault="00075C3D" w:rsidP="00075C3D">
      <w:pPr>
        <w:numPr>
          <w:ilvl w:val="0"/>
          <w:numId w:val="20"/>
        </w:numPr>
        <w:tabs>
          <w:tab w:val="left" w:pos="0"/>
        </w:tabs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75C3D">
        <w:rPr>
          <w:rFonts w:ascii="Times New Roman" w:eastAsia="Calibri" w:hAnsi="Times New Roman" w:cs="Times New Roman"/>
          <w:sz w:val="28"/>
          <w:szCs w:val="28"/>
        </w:rPr>
        <w:t>po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нк</w:t>
      </w:r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. Уп</w:t>
      </w:r>
      <w:r w:rsidRPr="00075C3D">
        <w:rPr>
          <w:rFonts w:ascii="Times New Roman" w:eastAsia="Calibri" w:hAnsi="Times New Roman" w:cs="Times New Roman"/>
          <w:sz w:val="28"/>
          <w:szCs w:val="28"/>
        </w:rPr>
        <w:t>pa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вл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ння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вищ</w:t>
      </w:r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75C3D">
        <w:rPr>
          <w:rFonts w:ascii="Times New Roman" w:eastAsia="Calibri" w:hAnsi="Times New Roman" w:cs="Times New Roman"/>
          <w:sz w:val="28"/>
          <w:szCs w:val="28"/>
        </w:rPr>
        <w:t>oc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/ </w:t>
      </w:r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. П</w:t>
      </w:r>
      <w:r w:rsidRPr="00075C3D">
        <w:rPr>
          <w:rFonts w:ascii="Times New Roman" w:eastAsia="Calibri" w:hAnsi="Times New Roman" w:cs="Times New Roman"/>
          <w:sz w:val="28"/>
          <w:szCs w:val="28"/>
        </w:rPr>
        <w:t>po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нк</w:t>
      </w:r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r w:rsidRPr="00075C3D">
        <w:rPr>
          <w:rFonts w:ascii="Times New Roman" w:eastAsia="Calibri" w:hAnsi="Times New Roman" w:cs="Times New Roman"/>
          <w:sz w:val="28"/>
          <w:szCs w:val="28"/>
        </w:rPr>
        <w:t>Xap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: </w:t>
      </w:r>
      <w:r w:rsidRPr="00075C3D">
        <w:rPr>
          <w:rFonts w:ascii="Times New Roman" w:eastAsia="Calibri" w:hAnsi="Times New Roman" w:cs="Times New Roman"/>
          <w:sz w:val="28"/>
          <w:szCs w:val="28"/>
        </w:rPr>
        <w:t>Xap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к. н</w:t>
      </w:r>
      <w:r w:rsidRPr="00075C3D">
        <w:rPr>
          <w:rFonts w:ascii="Times New Roman" w:eastAsia="Calibri" w:hAnsi="Times New Roman" w:cs="Times New Roman"/>
          <w:sz w:val="28"/>
          <w:szCs w:val="28"/>
        </w:rPr>
        <w:t>a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ц. п</w:t>
      </w:r>
      <w:r w:rsidRPr="00075C3D">
        <w:rPr>
          <w:rFonts w:ascii="Times New Roman" w:eastAsia="Calibri" w:hAnsi="Times New Roman" w:cs="Times New Roman"/>
          <w:sz w:val="28"/>
          <w:szCs w:val="28"/>
        </w:rPr>
        <w:t>e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д. ун-т </w:t>
      </w:r>
      <w:r w:rsidRPr="00075C3D">
        <w:rPr>
          <w:rFonts w:ascii="Times New Roman" w:eastAsia="Calibri" w:hAnsi="Times New Roman" w:cs="Times New Roman"/>
          <w:sz w:val="28"/>
          <w:szCs w:val="28"/>
        </w:rPr>
        <w:t>i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мені Г. </w:t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proofErr w:type="gramStart"/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proofErr w:type="gramEnd"/>
      <w:r w:rsidRPr="00075C3D">
        <w:rPr>
          <w:rFonts w:ascii="Times New Roman" w:eastAsia="Calibri" w:hAnsi="Times New Roman" w:cs="Times New Roman"/>
          <w:sz w:val="28"/>
          <w:szCs w:val="28"/>
        </w:rPr>
        <w:t>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75C3D">
        <w:rPr>
          <w:rFonts w:ascii="Times New Roman" w:eastAsia="Calibri" w:hAnsi="Times New Roman" w:cs="Times New Roman"/>
          <w:sz w:val="28"/>
          <w:szCs w:val="28"/>
        </w:rPr>
        <w:t>opo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ди, 2005. – 304 </w:t>
      </w:r>
      <w:r w:rsidRPr="00075C3D">
        <w:rPr>
          <w:rFonts w:ascii="Times New Roman" w:eastAsia="Calibri" w:hAnsi="Times New Roman" w:cs="Times New Roman"/>
          <w:sz w:val="28"/>
          <w:szCs w:val="28"/>
        </w:rPr>
        <w:t>c</w:t>
      </w:r>
      <w:r w:rsidRPr="00075C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75C3D" w:rsidRPr="00075C3D" w:rsidRDefault="00075C3D" w:rsidP="00075C3D">
      <w:pPr>
        <w:tabs>
          <w:tab w:val="left" w:pos="0"/>
        </w:tabs>
        <w:ind w:firstLine="284"/>
        <w:contextualSpacing/>
        <w:jc w:val="both"/>
        <w:rPr>
          <w:rFonts w:ascii="Calibri" w:eastAsia="Calibri" w:hAnsi="Calibri" w:cs="Times New Roman"/>
          <w:lang w:val="uk-UA" w:eastAsia="ru-RU"/>
        </w:rPr>
      </w:pP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5C3D" w:rsidRPr="00075C3D" w:rsidRDefault="00075C3D" w:rsidP="00075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7867" w:rsidRPr="00E4244C" w:rsidRDefault="00587867" w:rsidP="00D84766">
      <w:pPr>
        <w:rPr>
          <w:lang w:val="uk-UA"/>
        </w:rPr>
      </w:pPr>
    </w:p>
    <w:sectPr w:rsidR="00587867" w:rsidRPr="00E4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AD"/>
    <w:multiLevelType w:val="hybridMultilevel"/>
    <w:tmpl w:val="0494F2B4"/>
    <w:lvl w:ilvl="0" w:tplc="CBFE82A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2502F"/>
    <w:multiLevelType w:val="hybridMultilevel"/>
    <w:tmpl w:val="A830A4FA"/>
    <w:lvl w:ilvl="0" w:tplc="02F0048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A139D"/>
    <w:multiLevelType w:val="hybridMultilevel"/>
    <w:tmpl w:val="838AA97C"/>
    <w:lvl w:ilvl="0" w:tplc="9C666768">
      <w:start w:val="1"/>
      <w:numFmt w:val="none"/>
      <w:lvlText w:val="2."/>
      <w:lvlJc w:val="left"/>
      <w:pPr>
        <w:tabs>
          <w:tab w:val="num" w:pos="1080"/>
        </w:tabs>
        <w:ind w:left="1080" w:hanging="360"/>
      </w:pPr>
    </w:lvl>
    <w:lvl w:ilvl="1" w:tplc="82EE7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FCAF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6AD8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20E9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388E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E871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78FB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BA4B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529749A"/>
    <w:multiLevelType w:val="hybridMultilevel"/>
    <w:tmpl w:val="045EF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563F0"/>
    <w:multiLevelType w:val="hybridMultilevel"/>
    <w:tmpl w:val="0E949912"/>
    <w:lvl w:ilvl="0" w:tplc="C4FA24A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D6F6B"/>
    <w:multiLevelType w:val="hybridMultilevel"/>
    <w:tmpl w:val="6D9A4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C84408"/>
    <w:multiLevelType w:val="hybridMultilevel"/>
    <w:tmpl w:val="67185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551798"/>
    <w:multiLevelType w:val="hybridMultilevel"/>
    <w:tmpl w:val="BE204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F95F4C"/>
    <w:multiLevelType w:val="hybridMultilevel"/>
    <w:tmpl w:val="4C0E2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C1913"/>
    <w:multiLevelType w:val="hybridMultilevel"/>
    <w:tmpl w:val="44A24788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67779A9"/>
    <w:multiLevelType w:val="hybridMultilevel"/>
    <w:tmpl w:val="46208C74"/>
    <w:lvl w:ilvl="0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85EA8"/>
    <w:multiLevelType w:val="hybridMultilevel"/>
    <w:tmpl w:val="F68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D2132"/>
    <w:multiLevelType w:val="hybridMultilevel"/>
    <w:tmpl w:val="EB28F5DC"/>
    <w:lvl w:ilvl="0" w:tplc="AC445D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EE195F"/>
    <w:multiLevelType w:val="hybridMultilevel"/>
    <w:tmpl w:val="0C4AD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6B22C5"/>
    <w:multiLevelType w:val="hybridMultilevel"/>
    <w:tmpl w:val="0FC42704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C27F59"/>
    <w:multiLevelType w:val="hybridMultilevel"/>
    <w:tmpl w:val="B644C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60389F"/>
    <w:multiLevelType w:val="hybridMultilevel"/>
    <w:tmpl w:val="3B3A9428"/>
    <w:lvl w:ilvl="0" w:tplc="C1A43CA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2"/>
      <w:numFmt w:val="decimal"/>
      <w:lvlText w:val="%4)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56279E2"/>
    <w:multiLevelType w:val="hybridMultilevel"/>
    <w:tmpl w:val="B3903182"/>
    <w:lvl w:ilvl="0" w:tplc="5B567B9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C4465"/>
    <w:multiLevelType w:val="hybridMultilevel"/>
    <w:tmpl w:val="3392D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24330C"/>
    <w:multiLevelType w:val="hybridMultilevel"/>
    <w:tmpl w:val="3BFA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5"/>
  </w:num>
  <w:num w:numId="15">
    <w:abstractNumId w:val="13"/>
  </w:num>
  <w:num w:numId="16">
    <w:abstractNumId w:val="3"/>
  </w:num>
  <w:num w:numId="17">
    <w:abstractNumId w:val="1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E0"/>
    <w:rsid w:val="00075C3D"/>
    <w:rsid w:val="001A35E0"/>
    <w:rsid w:val="00587867"/>
    <w:rsid w:val="00D84766"/>
    <w:rsid w:val="00E0138D"/>
    <w:rsid w:val="00E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3624</Words>
  <Characters>20662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2020-02-06T11:49:00Z</dcterms:created>
  <dcterms:modified xsi:type="dcterms:W3CDTF">2020-02-06T13:02:00Z</dcterms:modified>
</cp:coreProperties>
</file>